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314DEA60" w:rsidR="00132032" w:rsidRPr="00474FE1" w:rsidRDefault="005F5946" w:rsidP="00132032">
                            <w:pPr>
                              <w:ind w:left="0" w:firstLine="0"/>
                              <w:jc w:val="center"/>
                              <w:rPr>
                                <w:rFonts w:ascii="Book Antiqua" w:hAnsi="Book Antiqua"/>
                                <w:b/>
                                <w:bCs/>
                                <w:color w:val="FFFFFF" w:themeColor="background1"/>
                              </w:rPr>
                            </w:pPr>
                            <w:r w:rsidRPr="005F5946">
                              <w:rPr>
                                <w:rFonts w:ascii="Book Antiqua" w:hAnsi="Book Antiqua"/>
                                <w:b/>
                                <w:bCs/>
                                <w:color w:val="FFFFFF" w:themeColor="background1"/>
                              </w:rPr>
                              <w:t>The Impact of Social Media Bullying on Personality Development among University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" fillcolor="#7e0000" strokecolor="#0a2f40 [1604]" strokeweight="1pt">
                <v:textbox>
                  <w:txbxContent>
                    <w:p w14:paraId="1117E699" w14:textId="314DEA60" w:rsidR="00132032" w:rsidRPr="00474FE1" w:rsidRDefault="005F5946" w:rsidP="00132032">
                      <w:pPr>
                        <w:ind w:left="0" w:firstLine="0"/>
                        <w:jc w:val="center"/>
                        <w:rPr>
                          <w:rFonts w:ascii="Book Antiqua" w:hAnsi="Book Antiqua"/>
                          <w:b/>
                          <w:bCs/>
                          <w:color w:val="FFFFFF" w:themeColor="background1"/>
                        </w:rPr>
                      </w:pPr>
                      <w:r w:rsidRPr="005F5946">
                        <w:rPr>
                          <w:rFonts w:ascii="Book Antiqua" w:hAnsi="Book Antiqua"/>
                          <w:b/>
                          <w:bCs/>
                          <w:color w:val="FFFFFF" w:themeColor="background1"/>
                        </w:rPr>
                        <w:t>The Impact of Social Media Bullying on Personality Development among University Students</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74EC72" w14:textId="14E7D09A" w:rsidR="005F5946" w:rsidRDefault="005F5946"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5F5946">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Muqadas Yasin</w:t>
      </w:r>
    </w:p>
    <w:p w14:paraId="290C3446" w14:textId="33806E48"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5F5946" w:rsidRPr="005F5946">
        <w:rPr>
          <w:rFonts w:ascii="Book Antiqua" w:hAnsi="Book Antiqua" w:cstheme="majorBidi"/>
          <w:szCs w:val="24"/>
        </w:rPr>
        <w:t>Department of Sociology Thal University Bhakkar</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413E2174" w:rsidR="00C525D2" w:rsidRPr="00776E22" w:rsidRDefault="005F0D7B" w:rsidP="00E50068">
            <w:pPr>
              <w:pStyle w:val="TableParagraph"/>
              <w:spacing w:line="237" w:lineRule="auto"/>
              <w:ind w:left="175"/>
              <w:rPr>
                <w:rFonts w:ascii="Book Antiqua" w:hAnsi="Book Antiqua"/>
                <w:color w:val="C00000"/>
              </w:rPr>
            </w:pPr>
            <w:r w:rsidRPr="005F5946">
              <w:rPr>
                <w:rFonts w:ascii="Book Antiqua" w:hAnsi="Book Antiqua"/>
                <w:color w:val="C00000"/>
                <w:w w:val="85"/>
              </w:rPr>
              <w:t>Personality Development, Social Media Bullying, Self-Esteem, Self-Image, Emotional Intelligence</w:t>
            </w:r>
          </w:p>
        </w:tc>
        <w:tc>
          <w:tcPr>
            <w:tcW w:w="7683" w:type="dxa"/>
            <w:vMerge w:val="restart"/>
            <w:tcBorders>
              <w:right w:val="nil"/>
            </w:tcBorders>
          </w:tcPr>
          <w:p w14:paraId="10FE8CC0" w14:textId="0F517361" w:rsidR="00C525D2" w:rsidRPr="00586090" w:rsidRDefault="005F5946" w:rsidP="00E50068">
            <w:pPr>
              <w:pStyle w:val="TableParagraph"/>
              <w:ind w:left="102" w:right="116"/>
              <w:jc w:val="both"/>
              <w:rPr>
                <w:rFonts w:ascii="Book Antiqua" w:hAnsi="Book Antiqua"/>
                <w:spacing w:val="-1"/>
                <w:w w:val="90"/>
                <w:szCs w:val="24"/>
              </w:rPr>
            </w:pPr>
            <w:r w:rsidRPr="005F5946">
              <w:rPr>
                <w:rFonts w:ascii="Book Antiqua" w:hAnsi="Book Antiqua"/>
                <w:spacing w:val="-1"/>
                <w:w w:val="90"/>
                <w:sz w:val="24"/>
                <w:szCs w:val="24"/>
              </w:rPr>
              <w:t>This abstract explores the phenomenon of social media bullying and its potential impact on the personality development of university students. Personality development refers to the psychological, emotional, and social changes that occur during this critical period in an individual's life. The research aims to investigate how social media bullying influences key aspects of personality development, including self-esteem, self-image, self-efficacy, and interpersonal relationships.  The research was conducted using an online survey questionnaire, which was distributed to 100 university students. The data collected from the survey were analyzed using the Statistical Package for the Social Sciences (SPSS). Descriptive and inferential statistics, including mean, frequency, percentage, correlation, and ANOVA, were employed to assess the impact of social media bullying on personality development. The findings revealed a significant correlation between social media bullying and negative effects on students' self-esteem and self-image. Additionally, bullying was found to influence students' interpersonal relationships and emotional well-being, highlighting the damaging impact of such experiences on their overall personality development. In conclusion, social media bullying can significantly affect the personality development of university students, with implications for their emotional intelligence, self-concept, and coping mechanisms. The study emphasizes the need for addressing these negative behaviors in the digital space to promote healthier interactions among young adults</w:t>
            </w:r>
            <w:r w:rsidR="00A86805"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4BA0F57F"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29</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61137F2B"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6A79C95C"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proofErr w:type="gramStart"/>
            <w:r w:rsidR="00C525D2" w:rsidRPr="00EE35D8">
              <w:rPr>
                <w:rFonts w:ascii="Book Antiqua" w:hAnsi="Book Antiqua" w:cstheme="majorBidi"/>
                <w:color w:val="C00000"/>
                <w:sz w:val="20"/>
              </w:rPr>
              <w:t xml:space="preserve">) </w:t>
            </w:r>
            <w:r w:rsidR="00174D25">
              <w:rPr>
                <w:rFonts w:ascii="Book Antiqua" w:hAnsi="Book Antiqua" w:cstheme="majorBidi"/>
                <w:color w:val="C00000"/>
                <w:sz w:val="20"/>
              </w:rPr>
              <w:t xml:space="preserve"> 5</w:t>
            </w:r>
            <w:proofErr w:type="gramEnd"/>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58DF7C91" w:rsidR="00C525D2" w:rsidRPr="00EE35D8" w:rsidRDefault="005F5946" w:rsidP="005F5946">
            <w:pPr>
              <w:pStyle w:val="TableParagraph"/>
              <w:spacing w:line="222" w:lineRule="exact"/>
              <w:ind w:left="102"/>
              <w:jc w:val="both"/>
              <w:rPr>
                <w:rFonts w:ascii="Book Antiqua" w:hAnsi="Book Antiqua" w:cstheme="majorBidi"/>
                <w:color w:val="C00000"/>
                <w:sz w:val="20"/>
              </w:rPr>
            </w:pPr>
            <w:r w:rsidRPr="005F5946">
              <w:rPr>
                <w:rFonts w:ascii="Book Antiqua" w:hAnsi="Book Antiqua" w:cstheme="majorBidi"/>
                <w:color w:val="C00000"/>
                <w:sz w:val="20"/>
              </w:rPr>
              <w:t xml:space="preserve">Yasin, M. (2024). The impact of social media bullying on personality development among university students. </w:t>
            </w:r>
            <w:r w:rsidRPr="005F5946">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5F5946">
      <w:headerReference w:type="default" r:id="rId7"/>
      <w:footerReference w:type="default" r:id="rId8"/>
      <w:pgSz w:w="12240" w:h="15840"/>
      <w:pgMar w:top="1440" w:right="1440" w:bottom="1440" w:left="1440" w:header="720" w:footer="720" w:gutter="0"/>
      <w:pgNumType w:start="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FDBF" w14:textId="77777777" w:rsidR="00C16E31" w:rsidRDefault="00C16E31" w:rsidP="002B1BEE">
      <w:pPr>
        <w:spacing w:before="0" w:after="0" w:line="240" w:lineRule="auto"/>
      </w:pPr>
      <w:r>
        <w:separator/>
      </w:r>
    </w:p>
  </w:endnote>
  <w:endnote w:type="continuationSeparator" w:id="0">
    <w:p w14:paraId="22A9697A" w14:textId="77777777" w:rsidR="00C16E31" w:rsidRDefault="00C16E31"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662733E7" w:rsidR="002B1BEE" w:rsidRPr="002B1BEE" w:rsidRDefault="00174D25">
        <w:pPr>
          <w:pStyle w:val="Footer"/>
          <w:jc w:val="right"/>
          <w:rPr>
            <w:color w:val="FF0000"/>
          </w:rPr>
        </w:pPr>
        <w:r>
          <w:rPr>
            <w:color w:val="FF0000"/>
          </w:rPr>
          <w:t>5</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5661" w14:textId="77777777" w:rsidR="00C16E31" w:rsidRDefault="00C16E31" w:rsidP="002B1BEE">
      <w:pPr>
        <w:spacing w:before="0" w:after="0" w:line="240" w:lineRule="auto"/>
      </w:pPr>
      <w:r>
        <w:separator/>
      </w:r>
    </w:p>
  </w:footnote>
  <w:footnote w:type="continuationSeparator" w:id="0">
    <w:p w14:paraId="6B43F8DF" w14:textId="77777777" w:rsidR="00C16E31" w:rsidRDefault="00C16E31"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2972D1D6" w:rsidR="002B1BEE" w:rsidRPr="002B1BEE" w:rsidRDefault="005F5946" w:rsidP="005F5946">
    <w:pPr>
      <w:pStyle w:val="Header"/>
      <w:jc w:val="center"/>
      <w:rPr>
        <w:b/>
        <w:bCs/>
      </w:rPr>
    </w:pPr>
    <w:r w:rsidRPr="005F5946">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Muqadas Yasin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0D53F7"/>
    <w:rsid w:val="00117872"/>
    <w:rsid w:val="00132032"/>
    <w:rsid w:val="00174D25"/>
    <w:rsid w:val="001A067C"/>
    <w:rsid w:val="00222D2B"/>
    <w:rsid w:val="002B1BEE"/>
    <w:rsid w:val="002B467F"/>
    <w:rsid w:val="003965EA"/>
    <w:rsid w:val="003D7C7D"/>
    <w:rsid w:val="004734D9"/>
    <w:rsid w:val="004C38F4"/>
    <w:rsid w:val="00514821"/>
    <w:rsid w:val="00561150"/>
    <w:rsid w:val="00586090"/>
    <w:rsid w:val="005F0D7B"/>
    <w:rsid w:val="005F5946"/>
    <w:rsid w:val="006125F3"/>
    <w:rsid w:val="00684D2D"/>
    <w:rsid w:val="00736FE7"/>
    <w:rsid w:val="0077300C"/>
    <w:rsid w:val="00776E22"/>
    <w:rsid w:val="007B118B"/>
    <w:rsid w:val="00956898"/>
    <w:rsid w:val="00961C60"/>
    <w:rsid w:val="00962FF1"/>
    <w:rsid w:val="00996DF0"/>
    <w:rsid w:val="00A224AB"/>
    <w:rsid w:val="00A61E80"/>
    <w:rsid w:val="00A64434"/>
    <w:rsid w:val="00A83A54"/>
    <w:rsid w:val="00A85144"/>
    <w:rsid w:val="00A86805"/>
    <w:rsid w:val="00AB4A99"/>
    <w:rsid w:val="00AF0818"/>
    <w:rsid w:val="00B07F11"/>
    <w:rsid w:val="00C16E31"/>
    <w:rsid w:val="00C525D2"/>
    <w:rsid w:val="00C873F1"/>
    <w:rsid w:val="00D425B2"/>
    <w:rsid w:val="00D63704"/>
    <w:rsid w:val="00D94B25"/>
    <w:rsid w:val="00EB40F4"/>
    <w:rsid w:val="00ED6FD9"/>
    <w:rsid w:val="00EE35D8"/>
    <w:rsid w:val="00F0485A"/>
    <w:rsid w:val="00F1643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13</cp:revision>
  <cp:lastPrinted>2025-01-24T18:52:00Z</cp:lastPrinted>
  <dcterms:created xsi:type="dcterms:W3CDTF">2025-01-24T18:55:00Z</dcterms:created>
  <dcterms:modified xsi:type="dcterms:W3CDTF">2025-02-20T19:43:00Z</dcterms:modified>
</cp:coreProperties>
</file>